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FOR IMMEDIATE RELEASE</w:t>
      </w:r>
    </w:p>
    <w:p w:rsidR="00000000" w:rsidDel="00000000" w:rsidP="00000000" w:rsidRDefault="00000000" w:rsidRPr="00000000" w14:paraId="00000002">
      <w:pPr>
        <w:spacing w:after="240" w:before="240" w:lineRule="auto"/>
        <w:rPr/>
      </w:pPr>
      <w:r w:rsidDel="00000000" w:rsidR="00000000" w:rsidRPr="00000000">
        <w:rPr>
          <w:b w:val="1"/>
          <w:rtl w:val="0"/>
        </w:rPr>
        <w:t xml:space="preserve">Date:</w:t>
      </w:r>
      <w:r w:rsidDel="00000000" w:rsidR="00000000" w:rsidRPr="00000000">
        <w:rPr>
          <w:rtl w:val="0"/>
        </w:rPr>
        <w:t xml:space="preserve"> 16th June 2025</w:t>
      </w:r>
    </w:p>
    <w:p w:rsidR="00000000" w:rsidDel="00000000" w:rsidP="00000000" w:rsidRDefault="00000000" w:rsidRPr="00000000" w14:paraId="00000003">
      <w:pPr>
        <w:pStyle w:val="Heading1"/>
        <w:keepNext w:val="0"/>
        <w:keepLines w:val="0"/>
        <w:spacing w:before="480" w:lineRule="auto"/>
        <w:rPr>
          <w:b w:val="1"/>
          <w:sz w:val="46"/>
          <w:szCs w:val="46"/>
        </w:rPr>
      </w:pPr>
      <w:bookmarkStart w:colFirst="0" w:colLast="0" w:name="_rqo2us7r07v" w:id="0"/>
      <w:bookmarkEnd w:id="0"/>
      <w:r w:rsidDel="00000000" w:rsidR="00000000" w:rsidRPr="00000000">
        <w:rPr>
          <w:b w:val="1"/>
          <w:sz w:val="46"/>
          <w:szCs w:val="46"/>
          <w:rtl w:val="0"/>
        </w:rPr>
        <w:t xml:space="preserve">Ghanaian Startups Have 15 Days Left to Apply for €100,000 Non-Dilutive Funding</w:t>
      </w:r>
    </w:p>
    <w:p w:rsidR="00000000" w:rsidDel="00000000" w:rsidP="00000000" w:rsidRDefault="00000000" w:rsidRPr="00000000" w14:paraId="00000004">
      <w:pPr>
        <w:spacing w:after="240" w:before="240" w:lineRule="auto"/>
        <w:rPr/>
      </w:pPr>
      <w:r w:rsidDel="00000000" w:rsidR="00000000" w:rsidRPr="00000000">
        <w:rPr>
          <w:b w:val="1"/>
          <w:rtl w:val="0"/>
        </w:rPr>
        <w:t xml:space="preserve">Accra, Ghana</w:t>
      </w:r>
      <w:r w:rsidDel="00000000" w:rsidR="00000000" w:rsidRPr="00000000">
        <w:rPr>
          <w:rtl w:val="0"/>
        </w:rPr>
        <w:t xml:space="preserve"> — Early-stage Ghanaian startups focused on sustainable development and innovation have just 15 days remaining to apply for the </w:t>
      </w:r>
      <w:r w:rsidDel="00000000" w:rsidR="00000000" w:rsidRPr="00000000">
        <w:rPr>
          <w:b w:val="1"/>
          <w:rtl w:val="0"/>
        </w:rPr>
        <w:t xml:space="preserve">develoPPP Ventures</w:t>
      </w:r>
      <w:r w:rsidDel="00000000" w:rsidR="00000000" w:rsidRPr="00000000">
        <w:rPr>
          <w:rtl w:val="0"/>
        </w:rPr>
        <w:t xml:space="preserve"> program, offering </w:t>
      </w:r>
      <w:r w:rsidDel="00000000" w:rsidR="00000000" w:rsidRPr="00000000">
        <w:rPr>
          <w:b w:val="1"/>
          <w:rtl w:val="0"/>
        </w:rPr>
        <w:t xml:space="preserve">€100,000 in non-dilutive funding</w:t>
      </w:r>
      <w:r w:rsidDel="00000000" w:rsidR="00000000" w:rsidRPr="00000000">
        <w:rPr>
          <w:rtl w:val="0"/>
        </w:rPr>
        <w:t xml:space="preserve"> plus strategic support to scale impact-driven business models.</w:t>
      </w:r>
    </w:p>
    <w:p w:rsidR="00000000" w:rsidDel="00000000" w:rsidP="00000000" w:rsidRDefault="00000000" w:rsidRPr="00000000" w14:paraId="00000005">
      <w:pPr>
        <w:spacing w:after="240" w:before="240" w:lineRule="auto"/>
        <w:rPr/>
      </w:pPr>
      <w:r w:rsidDel="00000000" w:rsidR="00000000" w:rsidRPr="00000000">
        <w:rPr>
          <w:rtl w:val="0"/>
        </w:rPr>
        <w:t xml:space="preserve">The funding opportunity is commissioned by the </w:t>
      </w:r>
      <w:r w:rsidDel="00000000" w:rsidR="00000000" w:rsidRPr="00000000">
        <w:rPr>
          <w:b w:val="1"/>
          <w:rtl w:val="0"/>
        </w:rPr>
        <w:t xml:space="preserve">German Federal Ministry for Economic Cooperation and Development (BMZ)</w:t>
      </w:r>
      <w:r w:rsidDel="00000000" w:rsidR="00000000" w:rsidRPr="00000000">
        <w:rPr>
          <w:rtl w:val="0"/>
        </w:rPr>
        <w:t xml:space="preserve"> and implemented by </w:t>
      </w:r>
      <w:r w:rsidDel="00000000" w:rsidR="00000000" w:rsidRPr="00000000">
        <w:rPr>
          <w:b w:val="1"/>
          <w:rtl w:val="0"/>
        </w:rPr>
        <w:t xml:space="preserve">Deutsche Gesellschaft für Internationale Zusammenarbeit (GIZ) GmbH</w:t>
      </w:r>
      <w:r w:rsidDel="00000000" w:rsidR="00000000" w:rsidRPr="00000000">
        <w:rPr>
          <w:rtl w:val="0"/>
        </w:rPr>
        <w:t xml:space="preserve">,</w:t>
      </w:r>
      <w:r w:rsidDel="00000000" w:rsidR="00000000" w:rsidRPr="00000000">
        <w:rPr>
          <w:rtl w:val="0"/>
        </w:rPr>
        <w:t xml:space="preserve"> </w:t>
      </w:r>
      <w:r w:rsidDel="00000000" w:rsidR="00000000" w:rsidRPr="00000000">
        <w:rPr>
          <w:b w:val="1"/>
          <w:rtl w:val="0"/>
        </w:rPr>
        <w:t xml:space="preserve">DEG Impulse gGmbH and GreenTec Capital GmbH</w:t>
      </w:r>
      <w:r w:rsidDel="00000000" w:rsidR="00000000" w:rsidRPr="00000000">
        <w:rPr>
          <w:rtl w:val="0"/>
        </w:rPr>
        <w:t xml:space="preserve">, with </w:t>
      </w:r>
      <w:r w:rsidDel="00000000" w:rsidR="00000000" w:rsidRPr="00000000">
        <w:rPr>
          <w:b w:val="1"/>
          <w:rtl w:val="0"/>
        </w:rPr>
        <w:t xml:space="preserve">TKC Africa</w:t>
      </w:r>
      <w:r w:rsidDel="00000000" w:rsidR="00000000" w:rsidRPr="00000000">
        <w:rPr>
          <w:rtl w:val="0"/>
        </w:rPr>
        <w:t xml:space="preserve"> serving as the implementation partner for Ghana.</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Application deadline: June 30, 2025</w:t>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f7bolodjcszp" w:id="1"/>
      <w:bookmarkEnd w:id="1"/>
      <w:r w:rsidDel="00000000" w:rsidR="00000000" w:rsidRPr="00000000">
        <w:rPr>
          <w:b w:val="1"/>
          <w:sz w:val="34"/>
          <w:szCs w:val="34"/>
          <w:rtl w:val="0"/>
        </w:rPr>
        <w:t xml:space="preserve">Program Overview</w:t>
      </w:r>
    </w:p>
    <w:p w:rsidR="00000000" w:rsidDel="00000000" w:rsidP="00000000" w:rsidRDefault="00000000" w:rsidRPr="00000000" w14:paraId="00000008">
      <w:pPr>
        <w:spacing w:after="240" w:before="240" w:lineRule="auto"/>
        <w:rPr/>
      </w:pPr>
      <w:r w:rsidDel="00000000" w:rsidR="00000000" w:rsidRPr="00000000">
        <w:rPr>
          <w:rtl w:val="0"/>
        </w:rPr>
        <w:t xml:space="preserve">develoPPP Ventures targets innovative, privately-owned companies that contribute to achieving the </w:t>
      </w:r>
      <w:r w:rsidDel="00000000" w:rsidR="00000000" w:rsidRPr="00000000">
        <w:rPr>
          <w:b w:val="1"/>
          <w:rtl w:val="0"/>
        </w:rPr>
        <w:t xml:space="preserve">UN Sustainable Development Goals (SDGs)</w:t>
      </w:r>
      <w:r w:rsidDel="00000000" w:rsidR="00000000" w:rsidRPr="00000000">
        <w:rPr>
          <w:rtl w:val="0"/>
        </w:rPr>
        <w:t xml:space="preserve"> through scalable business models that improve local living conditions and create positive developmental impact.</w:t>
      </w:r>
    </w:p>
    <w:p w:rsidR="00000000" w:rsidDel="00000000" w:rsidP="00000000" w:rsidRDefault="00000000" w:rsidRPr="00000000" w14:paraId="00000009">
      <w:pPr>
        <w:spacing w:after="240" w:before="240" w:lineRule="auto"/>
        <w:rPr/>
      </w:pPr>
      <w:r w:rsidDel="00000000" w:rsidR="00000000" w:rsidRPr="00000000">
        <w:rPr>
          <w:rtl w:val="0"/>
        </w:rPr>
        <w:t xml:space="preserve">The program specifically seeks startups that increase local income, save natural resources, improve access to essential services, and create decent employment opportunities.</w:t>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2lkjy1o9ul1x" w:id="2"/>
      <w:bookmarkEnd w:id="2"/>
      <w:r w:rsidDel="00000000" w:rsidR="00000000" w:rsidRPr="00000000">
        <w:rPr>
          <w:b w:val="1"/>
          <w:sz w:val="34"/>
          <w:szCs w:val="34"/>
          <w:rtl w:val="0"/>
        </w:rPr>
        <w:t xml:space="preserve">What Successful Applicants Receive</w:t>
      </w:r>
    </w:p>
    <w:p w:rsidR="00000000" w:rsidDel="00000000" w:rsidP="00000000" w:rsidRDefault="00000000" w:rsidRPr="00000000" w14:paraId="0000000B">
      <w:pPr>
        <w:numPr>
          <w:ilvl w:val="0"/>
          <w:numId w:val="4"/>
        </w:numPr>
        <w:spacing w:after="0" w:afterAutospacing="0" w:before="240" w:lineRule="auto"/>
        <w:ind w:left="720" w:hanging="360"/>
      </w:pPr>
      <w:r w:rsidDel="00000000" w:rsidR="00000000" w:rsidRPr="00000000">
        <w:rPr>
          <w:b w:val="1"/>
          <w:rtl w:val="0"/>
        </w:rPr>
        <w:t xml:space="preserve">€100,000 in non-dilutive capital</w:t>
      </w:r>
      <w:r w:rsidDel="00000000" w:rsidR="00000000" w:rsidRPr="00000000">
        <w:rPr>
          <w:rtl w:val="0"/>
        </w:rPr>
        <w:t xml:space="preserve"> (with potential top-up funding in a second phase)</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Strategic business advisory and mentorship</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Access to investor networks and partnerships</w:t>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rtl w:val="0"/>
        </w:rPr>
        <w:t xml:space="preserve">Support for scaling operations and market expansion</w:t>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msv910lx3n8v" w:id="3"/>
      <w:bookmarkEnd w:id="3"/>
      <w:r w:rsidDel="00000000" w:rsidR="00000000" w:rsidRPr="00000000">
        <w:rPr>
          <w:b w:val="1"/>
          <w:sz w:val="34"/>
          <w:szCs w:val="34"/>
          <w:rtl w:val="0"/>
        </w:rPr>
        <w:t xml:space="preserve">Key Eligibility Requirements</w:t>
      </w:r>
    </w:p>
    <w:p w:rsidR="00000000" w:rsidDel="00000000" w:rsidP="00000000" w:rsidRDefault="00000000" w:rsidRPr="00000000" w14:paraId="00000010">
      <w:pPr>
        <w:spacing w:after="240" w:before="240" w:lineRule="auto"/>
        <w:rPr/>
      </w:pPr>
      <w:r w:rsidDel="00000000" w:rsidR="00000000" w:rsidRPr="00000000">
        <w:rPr>
          <w:rtl w:val="0"/>
        </w:rPr>
        <w:t xml:space="preserve">To qualify, companies must:</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rtl w:val="0"/>
        </w:rPr>
        <w:t xml:space="preserve">Be registered in Ghana or commit to registration before funding disbursement</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Be privately owned and profit-oriented with at least one annual financial statement</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Have achieved proof of concept with first revenues from operating activities</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Present a viable business plan with 3-year financial projections</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Have raised less than €2 million in total funding to date</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rtl w:val="0"/>
        </w:rPr>
        <w:t xml:space="preserve">Secure matching funds of €100,000</w:t>
      </w:r>
      <w:r w:rsidDel="00000000" w:rsidR="00000000" w:rsidRPr="00000000">
        <w:rPr>
          <w:rtl w:val="0"/>
        </w:rPr>
        <w:t xml:space="preserve"> from other investors (can be received up to 6 months prior to application)</w:t>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rtl w:val="0"/>
        </w:rPr>
        <w:t xml:space="preserve">Demonstrate potential to reach break-even within 3 years</w:t>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dbey16fuo1wv" w:id="4"/>
      <w:bookmarkEnd w:id="4"/>
      <w:r w:rsidDel="00000000" w:rsidR="00000000" w:rsidRPr="00000000">
        <w:rPr>
          <w:b w:val="1"/>
          <w:sz w:val="34"/>
          <w:szCs w:val="34"/>
          <w:rtl w:val="0"/>
        </w:rPr>
        <w:t xml:space="preserve">Assessment Focus Areas</w:t>
      </w:r>
    </w:p>
    <w:p w:rsidR="00000000" w:rsidDel="00000000" w:rsidP="00000000" w:rsidRDefault="00000000" w:rsidRPr="00000000" w14:paraId="00000019">
      <w:pPr>
        <w:spacing w:after="240" w:before="240" w:lineRule="auto"/>
        <w:rPr/>
      </w:pPr>
      <w:r w:rsidDel="00000000" w:rsidR="00000000" w:rsidRPr="00000000">
        <w:rPr>
          <w:rtl w:val="0"/>
        </w:rPr>
        <w:t xml:space="preserve">Applications will be evaluated based on:</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b w:val="1"/>
          <w:rtl w:val="0"/>
        </w:rPr>
        <w:t xml:space="preserve">Innovation</w:t>
      </w:r>
      <w:r w:rsidDel="00000000" w:rsidR="00000000" w:rsidRPr="00000000">
        <w:rPr>
          <w:rtl w:val="0"/>
        </w:rPr>
        <w:t xml:space="preserve"> relative to the Ghanaian market</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b w:val="1"/>
          <w:rtl w:val="0"/>
        </w:rPr>
        <w:t xml:space="preserve">Scalability</w:t>
      </w:r>
      <w:r w:rsidDel="00000000" w:rsidR="00000000" w:rsidRPr="00000000">
        <w:rPr>
          <w:rtl w:val="0"/>
        </w:rPr>
        <w:t xml:space="preserve"> and growth potential</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rtl w:val="0"/>
        </w:rPr>
        <w:t xml:space="preserve">Financial sustainability</w:t>
      </w:r>
      <w:r w:rsidDel="00000000" w:rsidR="00000000" w:rsidRPr="00000000">
        <w:rPr>
          <w:rtl w:val="0"/>
        </w:rPr>
        <w:t xml:space="preserve"> and path to profitability</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rtl w:val="0"/>
        </w:rPr>
        <w:t xml:space="preserve">Management capacity</w:t>
      </w:r>
      <w:r w:rsidDel="00000000" w:rsidR="00000000" w:rsidRPr="00000000">
        <w:rPr>
          <w:rtl w:val="0"/>
        </w:rPr>
        <w:t xml:space="preserve"> and expertise</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b w:val="1"/>
          <w:rtl w:val="0"/>
        </w:rPr>
        <w:t xml:space="preserve">Developmental impact</w:t>
      </w:r>
      <w:r w:rsidDel="00000000" w:rsidR="00000000" w:rsidRPr="00000000">
        <w:rPr>
          <w:rtl w:val="0"/>
        </w:rPr>
        <w:t xml:space="preserve"> and SDG contribution</w:t>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kokcekvu79op" w:id="5"/>
      <w:bookmarkEnd w:id="5"/>
      <w:r w:rsidDel="00000000" w:rsidR="00000000" w:rsidRPr="00000000">
        <w:rPr>
          <w:b w:val="1"/>
          <w:sz w:val="34"/>
          <w:szCs w:val="34"/>
          <w:rtl w:val="0"/>
        </w:rPr>
        <w:t xml:space="preserve">Special Emphasis on Women-Led Startups</w:t>
      </w:r>
    </w:p>
    <w:p w:rsidR="00000000" w:rsidDel="00000000" w:rsidP="00000000" w:rsidRDefault="00000000" w:rsidRPr="00000000" w14:paraId="00000020">
      <w:pPr>
        <w:spacing w:after="240" w:before="240" w:lineRule="auto"/>
        <w:rPr/>
      </w:pPr>
      <w:r w:rsidDel="00000000" w:rsidR="00000000" w:rsidRPr="00000000">
        <w:rPr>
          <w:rtl w:val="0"/>
        </w:rPr>
        <w:t xml:space="preserve">The program particularly encourages applications from </w:t>
      </w:r>
      <w:r w:rsidDel="00000000" w:rsidR="00000000" w:rsidRPr="00000000">
        <w:rPr>
          <w:b w:val="1"/>
          <w:rtl w:val="0"/>
        </w:rPr>
        <w:t xml:space="preserve">women-led enterprises</w:t>
      </w:r>
      <w:r w:rsidDel="00000000" w:rsidR="00000000" w:rsidRPr="00000000">
        <w:rPr>
          <w:rtl w:val="0"/>
        </w:rPr>
        <w:t xml:space="preserve"> and startups promoting </w:t>
      </w:r>
      <w:r w:rsidDel="00000000" w:rsidR="00000000" w:rsidRPr="00000000">
        <w:rPr>
          <w:b w:val="1"/>
          <w:rtl w:val="0"/>
        </w:rPr>
        <w:t xml:space="preserve">gender equality</w:t>
      </w:r>
      <w:r w:rsidDel="00000000" w:rsidR="00000000" w:rsidRPr="00000000">
        <w:rPr>
          <w:rtl w:val="0"/>
        </w:rPr>
        <w:t xml:space="preserve">, aligned with the </w:t>
      </w:r>
      <w:r w:rsidDel="00000000" w:rsidR="00000000" w:rsidRPr="00000000">
        <w:rPr>
          <w:b w:val="1"/>
          <w:rtl w:val="0"/>
        </w:rPr>
        <w:t xml:space="preserve">2X Challenge</w:t>
      </w:r>
      <w:r w:rsidDel="00000000" w:rsidR="00000000" w:rsidRPr="00000000">
        <w:rPr>
          <w:rtl w:val="0"/>
        </w:rPr>
        <w:t xml:space="preserve"> criteria for gender-lens investing.</w:t>
      </w:r>
    </w:p>
    <w:p w:rsidR="00000000" w:rsidDel="00000000" w:rsidP="00000000" w:rsidRDefault="00000000" w:rsidRPr="00000000" w14:paraId="00000021">
      <w:pPr>
        <w:pStyle w:val="Heading2"/>
        <w:keepNext w:val="0"/>
        <w:keepLines w:val="0"/>
        <w:spacing w:after="80" w:lineRule="auto"/>
        <w:rPr>
          <w:b w:val="1"/>
          <w:sz w:val="34"/>
          <w:szCs w:val="34"/>
        </w:rPr>
      </w:pPr>
      <w:bookmarkStart w:colFirst="0" w:colLast="0" w:name="_g9nkrm34d5cn" w:id="6"/>
      <w:bookmarkEnd w:id="6"/>
      <w:r w:rsidDel="00000000" w:rsidR="00000000" w:rsidRPr="00000000">
        <w:rPr>
          <w:b w:val="1"/>
          <w:sz w:val="34"/>
          <w:szCs w:val="34"/>
          <w:rtl w:val="0"/>
        </w:rPr>
        <w:t xml:space="preserve">Selection Process</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rtl w:val="0"/>
        </w:rPr>
        <w:t xml:space="preserve">Initial application review</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Pitch presentations to the TKC Africa/ DEG Impulse/GIZ selection committee</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Due diligence process for successful candidates</w:t>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rtl w:val="0"/>
        </w:rPr>
        <w:t xml:space="preserve">Final selection and contract negotiation</w:t>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p18a2vo3w93j" w:id="7"/>
      <w:bookmarkEnd w:id="7"/>
      <w:r w:rsidDel="00000000" w:rsidR="00000000" w:rsidRPr="00000000">
        <w:rPr>
          <w:b w:val="1"/>
          <w:sz w:val="34"/>
          <w:szCs w:val="34"/>
          <w:rtl w:val="0"/>
        </w:rPr>
        <w:t xml:space="preserve">How to Apply</w:t>
      </w:r>
    </w:p>
    <w:p w:rsidR="00000000" w:rsidDel="00000000" w:rsidP="00000000" w:rsidRDefault="00000000" w:rsidRPr="00000000" w14:paraId="00000027">
      <w:pPr>
        <w:spacing w:after="240" w:before="240" w:lineRule="auto"/>
        <w:rPr>
          <w:color w:val="1155cc"/>
          <w:u w:val="single"/>
        </w:rPr>
      </w:pPr>
      <w:r w:rsidDel="00000000" w:rsidR="00000000" w:rsidRPr="00000000">
        <w:rPr>
          <w:rtl w:val="0"/>
        </w:rPr>
        <w:t xml:space="preserve">Applications must be submitted through the official portal:</w:t>
        <w:br w:type="textWrapping"/>
        <w:t xml:space="preserve"> 🔗</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https://www.developpp.de/en/application/ventures</w:t>
        </w:r>
      </w:hyperlink>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 For assistance, inquiries, or to request an info session, email:</w:t>
      </w:r>
    </w:p>
    <w:p w:rsidR="00000000" w:rsidDel="00000000" w:rsidP="00000000" w:rsidRDefault="00000000" w:rsidRPr="00000000" w14:paraId="00000029">
      <w:pPr>
        <w:spacing w:after="240" w:before="240" w:lineRule="auto"/>
        <w:rPr>
          <w:b w:val="1"/>
        </w:rPr>
      </w:pPr>
      <w:hyperlink r:id="rId8">
        <w:r w:rsidDel="00000000" w:rsidR="00000000" w:rsidRPr="00000000">
          <w:rPr>
            <w:color w:val="1155cc"/>
            <w:u w:val="single"/>
            <w:rtl w:val="0"/>
          </w:rPr>
          <w:t xml:space="preserve">info@tkcafrica.com</w:t>
        </w:r>
      </w:hyperlink>
      <w:r w:rsidDel="00000000" w:rsidR="00000000" w:rsidRPr="00000000">
        <w:rPr>
          <w:rtl w:val="0"/>
        </w:rPr>
        <w:t xml:space="preserve"> /  </w:t>
      </w:r>
      <w:r w:rsidDel="00000000" w:rsidR="00000000" w:rsidRPr="00000000">
        <w:rPr>
          <w:b w:val="1"/>
          <w:rtl w:val="0"/>
        </w:rPr>
        <w:t xml:space="preserve">applications@greentec-capital.com</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q2emo5v6b0o2" w:id="8"/>
      <w:bookmarkEnd w:id="8"/>
      <w:r w:rsidDel="00000000" w:rsidR="00000000" w:rsidRPr="00000000">
        <w:rPr>
          <w:b w:val="1"/>
          <w:sz w:val="34"/>
          <w:szCs w:val="34"/>
          <w:rtl w:val="0"/>
        </w:rPr>
        <w:t xml:space="preserve">About the Implementation Partners</w:t>
      </w:r>
    </w:p>
    <w:p w:rsidR="00000000" w:rsidDel="00000000" w:rsidP="00000000" w:rsidRDefault="00000000" w:rsidRPr="00000000" w14:paraId="0000002C">
      <w:pPr>
        <w:spacing w:after="240" w:before="240" w:lineRule="auto"/>
        <w:rPr/>
      </w:pPr>
      <w:r w:rsidDel="00000000" w:rsidR="00000000" w:rsidRPr="00000000">
        <w:rPr>
          <w:b w:val="1"/>
          <w:rtl w:val="0"/>
        </w:rPr>
        <w:t xml:space="preserve">TKC Africa</w:t>
      </w:r>
      <w:r w:rsidDel="00000000" w:rsidR="00000000" w:rsidRPr="00000000">
        <w:rPr>
          <w:rtl w:val="0"/>
        </w:rPr>
        <w:t xml:space="preserve"> serves as the implementation partner for Ghana, providing local expertise and support throughout the application and selection process. The firm specializes in business and investment consulting firm across Africa and other continents. </w:t>
      </w:r>
    </w:p>
    <w:p w:rsidR="00000000" w:rsidDel="00000000" w:rsidP="00000000" w:rsidRDefault="00000000" w:rsidRPr="00000000" w14:paraId="0000002D">
      <w:pPr>
        <w:spacing w:after="240" w:before="240" w:lineRule="auto"/>
        <w:rPr/>
      </w:pPr>
      <w:r w:rsidDel="00000000" w:rsidR="00000000" w:rsidRPr="00000000">
        <w:rPr>
          <w:b w:val="1"/>
          <w:rtl w:val="0"/>
        </w:rPr>
        <w:t xml:space="preserve">DEG Impulse gGmbH</w:t>
      </w:r>
      <w:r w:rsidDel="00000000" w:rsidR="00000000" w:rsidRPr="00000000">
        <w:rPr>
          <w:rtl w:val="0"/>
        </w:rPr>
        <w:t xml:space="preserve"> and </w:t>
      </w:r>
      <w:r w:rsidDel="00000000" w:rsidR="00000000" w:rsidRPr="00000000">
        <w:rPr>
          <w:b w:val="1"/>
          <w:rtl w:val="0"/>
        </w:rPr>
        <w:t xml:space="preserve">GIZ GmbH</w:t>
      </w:r>
      <w:r w:rsidDel="00000000" w:rsidR="00000000" w:rsidRPr="00000000">
        <w:rPr>
          <w:rtl w:val="0"/>
        </w:rPr>
        <w:t xml:space="preserve"> are German development finance institutions with extensive experience in supporting emerging market enterprises through patient capital and technical assistance.</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pPr>
      <w:r w:rsidDel="00000000" w:rsidR="00000000" w:rsidRPr="00000000">
        <w:rPr/>
        <w:drawing>
          <wp:inline distB="114300" distT="114300" distL="114300" distR="114300">
            <wp:extent cx="6853238" cy="3686175"/>
            <wp:effectExtent b="0" l="0" r="0" t="0"/>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6853238" cy="368617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drawing>
          <wp:inline distB="114300" distT="114300" distL="114300" distR="114300">
            <wp:extent cx="5943600" cy="5943600"/>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drawing>
          <wp:inline distB="114300" distT="114300" distL="114300" distR="114300">
            <wp:extent cx="5943600" cy="62738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43600" cy="62738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s://www.developpp.de/en/application/ventures" TargetMode="External"/><Relationship Id="rId7" Type="http://schemas.openxmlformats.org/officeDocument/2006/relationships/hyperlink" Target="https://www.developpp.de/en/application/ventures" TargetMode="External"/><Relationship Id="rId8" Type="http://schemas.openxmlformats.org/officeDocument/2006/relationships/hyperlink" Target="mailto:info@tkcaf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